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CC091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color w:val="000000"/>
        </w:rPr>
        <w:t>Assistant Secretary for Tax Policy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25F45" w:rsidRDefault="00B64A22" w:rsidP="00B64A22">
            <w:pPr>
              <w:jc w:val="center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OVERVIEW</w:t>
            </w:r>
          </w:p>
        </w:tc>
      </w:tr>
      <w:tr w:rsidR="00B92A39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25F45" w:rsidRDefault="000E0157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 xml:space="preserve">Senate </w:t>
            </w:r>
            <w:r w:rsidR="00B92A39" w:rsidRPr="00D25F45">
              <w:rPr>
                <w:rFonts w:ascii="Arial" w:hAnsi="Arial" w:cs="Arial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25F45" w:rsidRDefault="00FE521A" w:rsidP="00B30C4A">
            <w:pPr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  <w:bCs/>
              </w:rPr>
              <w:t>Finance</w:t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3910F3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25F45" w:rsidRDefault="00A51FA1" w:rsidP="00D33A2A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 xml:space="preserve">The Department </w:t>
            </w:r>
            <w:r w:rsidR="00A11ABC">
              <w:rPr>
                <w:rFonts w:ascii="Arial" w:hAnsi="Arial" w:cs="Arial"/>
              </w:rPr>
              <w:t xml:space="preserve">of the Treasury </w:t>
            </w:r>
            <w:r w:rsidRPr="00D25F45">
              <w:rPr>
                <w:rFonts w:ascii="Arial" w:hAnsi="Arial" w:cs="Arial"/>
              </w:rPr>
              <w:t>is the executive agency responsible for promoting economic prosperity and ensuring the financial security of the United States.</w:t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25F45" w:rsidRDefault="002F45E9" w:rsidP="002F0F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D25F45">
              <w:rPr>
                <w:rFonts w:ascii="Arial" w:hAnsi="Arial" w:cs="Arial"/>
                <w:shd w:val="clear" w:color="auto" w:fill="FFFFFF" w:themeFill="background1"/>
              </w:rPr>
              <w:t>The assistant secretary for tax policy</w:t>
            </w:r>
            <w:r w:rsidR="00232752" w:rsidRPr="00D25F45">
              <w:rPr>
                <w:rFonts w:ascii="Arial" w:hAnsi="Arial" w:cs="Arial"/>
                <w:shd w:val="clear" w:color="auto" w:fill="FFFFFF" w:themeFill="background1"/>
              </w:rPr>
              <w:t xml:space="preserve"> is responsible for the development and</w:t>
            </w:r>
            <w:r w:rsidRPr="00D25F45">
              <w:rPr>
                <w:rFonts w:ascii="Arial" w:hAnsi="Arial" w:cs="Arial"/>
                <w:shd w:val="clear" w:color="auto" w:fill="FFFFFF" w:themeFill="background1"/>
              </w:rPr>
              <w:t xml:space="preserve"> implementation of tax policy</w:t>
            </w:r>
            <w:r w:rsidR="002F0F90" w:rsidRPr="00D25F45">
              <w:rPr>
                <w:rFonts w:ascii="Arial" w:hAnsi="Arial" w:cs="Arial"/>
                <w:shd w:val="clear" w:color="auto" w:fill="FFFFFF" w:themeFill="background1"/>
              </w:rPr>
              <w:t xml:space="preserve"> and is</w:t>
            </w:r>
            <w:r w:rsidR="00232752" w:rsidRPr="00D25F45">
              <w:rPr>
                <w:rFonts w:ascii="Arial" w:hAnsi="Arial" w:cs="Arial"/>
                <w:shd w:val="clear" w:color="auto" w:fill="FFFFFF" w:themeFill="background1"/>
              </w:rPr>
              <w:t xml:space="preserve"> the most senior tax policy expert in the U.S. government</w:t>
            </w:r>
            <w:r w:rsidR="002F0F90" w:rsidRPr="00D25F45">
              <w:rPr>
                <w:rFonts w:ascii="Arial" w:hAnsi="Arial" w:cs="Arial"/>
                <w:shd w:val="clear" w:color="auto" w:fill="FFFFFF" w:themeFill="background1"/>
              </w:rPr>
              <w:t>.</w:t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25F45" w:rsidRDefault="00661AE5" w:rsidP="00962B37">
            <w:pPr>
              <w:rPr>
                <w:rFonts w:ascii="Arial" w:hAnsi="Arial" w:cs="Arial"/>
                <w:i/>
              </w:rPr>
            </w:pPr>
            <w:r w:rsidRPr="00D25F45">
              <w:rPr>
                <w:rFonts w:ascii="Arial" w:hAnsi="Arial" w:cs="Arial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25F45" w:rsidRDefault="00DC5457" w:rsidP="000038A4">
            <w:pPr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  <w:bCs/>
              </w:rPr>
              <w:t>Level IV $</w:t>
            </w:r>
            <w:r w:rsidR="000038A4">
              <w:rPr>
                <w:rFonts w:ascii="Arial" w:hAnsi="Arial" w:cs="Arial"/>
                <w:bCs/>
              </w:rPr>
              <w:t>155,500</w:t>
            </w:r>
            <w:r w:rsidR="00220D75" w:rsidRPr="00D25F45">
              <w:rPr>
                <w:rFonts w:ascii="Arial" w:hAnsi="Arial" w:cs="Arial"/>
                <w:bCs/>
              </w:rPr>
              <w:t xml:space="preserve"> (5 U.S.C. § 5315)</w:t>
            </w:r>
            <w:r w:rsidR="00D25F45" w:rsidRPr="00D25F45">
              <w:rPr>
                <w:rStyle w:val="EndnoteReference"/>
                <w:rFonts w:ascii="Arial" w:hAnsi="Arial" w:cs="Arial"/>
                <w:bCs/>
              </w:rPr>
              <w:endnoteReference w:id="1"/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25F45" w:rsidRDefault="00232752" w:rsidP="00D276D6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Secretary of the Treasury</w:t>
            </w:r>
            <w:r w:rsidRPr="00D25F45">
              <w:rPr>
                <w:rStyle w:val="EndnoteReference"/>
                <w:rFonts w:ascii="Arial" w:hAnsi="Arial" w:cs="Arial"/>
              </w:rPr>
              <w:endnoteReference w:id="2"/>
            </w:r>
          </w:p>
        </w:tc>
      </w:tr>
      <w:tr w:rsidR="00661AE5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25F45" w:rsidRDefault="00661AE5" w:rsidP="00B64A22">
            <w:pPr>
              <w:jc w:val="center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RESPONSIBILITIES</w:t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90" w:rsidRPr="00D25F45" w:rsidRDefault="00303C9B" w:rsidP="003C0470">
            <w:pPr>
              <w:contextualSpacing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  <w:bCs/>
              </w:rPr>
              <w:t>The d</w:t>
            </w:r>
            <w:r w:rsidR="00D078D5" w:rsidRPr="00D25F45">
              <w:rPr>
                <w:rFonts w:ascii="Arial" w:hAnsi="Arial" w:cs="Arial"/>
                <w:bCs/>
              </w:rPr>
              <w:t>omestic f</w:t>
            </w:r>
            <w:r w:rsidRPr="00D25F45">
              <w:rPr>
                <w:rFonts w:ascii="Arial" w:hAnsi="Arial" w:cs="Arial"/>
                <w:bCs/>
              </w:rPr>
              <w:t>inance/tax policy</w:t>
            </w:r>
            <w:r w:rsidR="009C53CB">
              <w:rPr>
                <w:rFonts w:ascii="Arial" w:hAnsi="Arial" w:cs="Arial"/>
                <w:bCs/>
              </w:rPr>
              <w:t xml:space="preserve"> fiscal</w:t>
            </w:r>
            <w:r w:rsidRPr="00D25F45">
              <w:rPr>
                <w:rFonts w:ascii="Arial" w:hAnsi="Arial" w:cs="Arial"/>
                <w:bCs/>
              </w:rPr>
              <w:t xml:space="preserve"> 2015 budget was $77 million. </w:t>
            </w:r>
            <w:r w:rsidR="002F0F90" w:rsidRPr="00D25F45">
              <w:rPr>
                <w:rFonts w:ascii="Arial" w:hAnsi="Arial" w:cs="Arial"/>
                <w:color w:val="2A2A2A"/>
              </w:rPr>
              <w:t xml:space="preserve">Specific programs fall into four principal areas: </w:t>
            </w:r>
            <w:r w:rsidR="00F50481" w:rsidRPr="00D25F45">
              <w:rPr>
                <w:rFonts w:ascii="Arial" w:hAnsi="Arial" w:cs="Arial"/>
                <w:color w:val="2A2A2A"/>
              </w:rPr>
              <w:t>tax policy; tax analysis; international tax affairs; and tax, trade and tariff policy</w:t>
            </w:r>
            <w:r w:rsidR="002F0F90" w:rsidRPr="00D25F45">
              <w:rPr>
                <w:rFonts w:ascii="Arial" w:hAnsi="Arial" w:cs="Arial"/>
                <w:color w:val="2A2A2A"/>
              </w:rPr>
              <w:t xml:space="preserve">. The Office of Tax Policy is one of </w:t>
            </w:r>
            <w:r w:rsidR="003C0470">
              <w:rPr>
                <w:rFonts w:ascii="Arial" w:hAnsi="Arial" w:cs="Arial"/>
                <w:color w:val="2A2A2A"/>
              </w:rPr>
              <w:t>10</w:t>
            </w:r>
            <w:r w:rsidR="003C0470" w:rsidRPr="00D25F45">
              <w:rPr>
                <w:rFonts w:ascii="Arial" w:hAnsi="Arial" w:cs="Arial"/>
                <w:color w:val="2A2A2A"/>
              </w:rPr>
              <w:t xml:space="preserve"> </w:t>
            </w:r>
            <w:r w:rsidR="00F50481" w:rsidRPr="00D25F45">
              <w:rPr>
                <w:rFonts w:ascii="Arial" w:hAnsi="Arial" w:cs="Arial"/>
                <w:color w:val="2A2A2A"/>
              </w:rPr>
              <w:t xml:space="preserve">departmental </w:t>
            </w:r>
            <w:r w:rsidR="002F0F90" w:rsidRPr="00D25F45">
              <w:rPr>
                <w:rFonts w:ascii="Arial" w:hAnsi="Arial" w:cs="Arial"/>
                <w:color w:val="2A2A2A"/>
              </w:rPr>
              <w:t xml:space="preserve">policy offices in the Department of the Treasury. The subordinate structure includes four </w:t>
            </w:r>
            <w:r w:rsidR="00F50481" w:rsidRPr="00D25F45">
              <w:rPr>
                <w:rFonts w:ascii="Arial" w:hAnsi="Arial" w:cs="Arial"/>
                <w:color w:val="2A2A2A"/>
              </w:rPr>
              <w:t xml:space="preserve">deputy assistant secretaries </w:t>
            </w:r>
            <w:r w:rsidR="002F0F90" w:rsidRPr="00D25F45">
              <w:rPr>
                <w:rFonts w:ascii="Arial" w:hAnsi="Arial" w:cs="Arial"/>
                <w:color w:val="2A2A2A"/>
              </w:rPr>
              <w:t xml:space="preserve">and approximately 100 employees. In addition, the Alcohol, Tobacco, Tax &amp; Trade Bureau, </w:t>
            </w:r>
            <w:r w:rsidR="003C0470">
              <w:rPr>
                <w:rFonts w:ascii="Arial" w:hAnsi="Arial" w:cs="Arial"/>
                <w:color w:val="2A2A2A"/>
              </w:rPr>
              <w:t xml:space="preserve">with </w:t>
            </w:r>
            <w:r w:rsidR="002F0F90" w:rsidRPr="00D25F45">
              <w:rPr>
                <w:rFonts w:ascii="Arial" w:hAnsi="Arial" w:cs="Arial"/>
                <w:color w:val="2A2A2A"/>
              </w:rPr>
              <w:t xml:space="preserve">approximately 500 employees, reports to the </w:t>
            </w:r>
            <w:r w:rsidR="00F50481" w:rsidRPr="00D25F45">
              <w:rPr>
                <w:rFonts w:ascii="Arial" w:hAnsi="Arial" w:cs="Arial"/>
                <w:color w:val="2A2A2A"/>
              </w:rPr>
              <w:t>office</w:t>
            </w:r>
            <w:r w:rsidR="002F0F90" w:rsidRPr="00D25F45">
              <w:rPr>
                <w:rFonts w:ascii="Arial" w:hAnsi="Arial" w:cs="Arial"/>
                <w:color w:val="2A2A2A"/>
              </w:rPr>
              <w:t>.</w:t>
            </w:r>
            <w:r w:rsidR="002F0F90" w:rsidRPr="00D25F45">
              <w:rPr>
                <w:rStyle w:val="EndnoteReference"/>
                <w:rFonts w:ascii="Arial" w:hAnsi="Arial" w:cs="Arial"/>
                <w:color w:val="2A2A2A"/>
              </w:rPr>
              <w:endnoteReference w:id="3"/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F90" w:rsidRPr="00D25F45" w:rsidRDefault="002F0F90" w:rsidP="004B49E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Assists the </w:t>
            </w:r>
            <w:r w:rsidR="00A96798"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secretary </w:t>
            </w: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in developing and implementing tax policies and programs</w:t>
            </w:r>
          </w:p>
          <w:p w:rsidR="002F0F90" w:rsidRPr="00D25F45" w:rsidRDefault="002F0F90" w:rsidP="004B49E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Provides the official estimates of </w:t>
            </w:r>
            <w:r w:rsidR="00A96798"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all government receipts for the president</w:t>
            </w:r>
            <w:r w:rsidR="00497B56">
              <w:rPr>
                <w:rFonts w:ascii="Arial" w:hAnsi="Arial" w:cs="Arial"/>
                <w:color w:val="1A1A1A"/>
                <w:shd w:val="clear" w:color="auto" w:fill="FFFFFF" w:themeFill="background1"/>
              </w:rPr>
              <w:t>’</w:t>
            </w:r>
            <w:r w:rsidR="00A96798"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s budget, fiscal policy decisions </w:t>
            </w: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and Treasury cash management decisions</w:t>
            </w:r>
          </w:p>
          <w:p w:rsidR="002F0F90" w:rsidRPr="00D25F45" w:rsidRDefault="002F0F90" w:rsidP="004B49E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Establishes policy criteria reflected in regulations and rulings</w:t>
            </w:r>
            <w:r w:rsidR="009C53CB">
              <w:rPr>
                <w:rFonts w:ascii="Arial" w:hAnsi="Arial" w:cs="Arial"/>
                <w:color w:val="1A1A1A"/>
                <w:shd w:val="clear" w:color="auto" w:fill="FFFFFF" w:themeFill="background1"/>
              </w:rPr>
              <w:t>,</w:t>
            </w: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 and guides preparation of them with the Internal Revenue Service</w:t>
            </w:r>
            <w:r w:rsidR="00A96798"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 (IRS)</w:t>
            </w: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 to implement and administer the Internal Revenue Code</w:t>
            </w:r>
          </w:p>
          <w:p w:rsidR="002F0F90" w:rsidRPr="00D25F45" w:rsidRDefault="002F0F90" w:rsidP="004B49E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Negotiates tax treaties for the United States and represents the U</w:t>
            </w:r>
            <w:r w:rsidR="009C53CB">
              <w:rPr>
                <w:rFonts w:ascii="Arial" w:hAnsi="Arial" w:cs="Arial"/>
                <w:color w:val="1A1A1A"/>
                <w:shd w:val="clear" w:color="auto" w:fill="FFFFFF" w:themeFill="background1"/>
              </w:rPr>
              <w:t>.S.</w:t>
            </w: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 xml:space="preserve"> in meetings and work of multilateral organizations dealing with tax policy matters</w:t>
            </w:r>
          </w:p>
          <w:p w:rsidR="00232752" w:rsidRPr="00D25F45" w:rsidRDefault="002F0F90" w:rsidP="004B49E3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1A1A1A"/>
                <w:shd w:val="clear" w:color="auto" w:fill="FFFFFF" w:themeFill="background1"/>
              </w:rPr>
              <w:t>Provides economic and legal policy analysis for domestic and international tax policy decisions</w:t>
            </w:r>
            <w:r w:rsidRPr="00D25F45">
              <w:rPr>
                <w:rStyle w:val="EndnoteReference"/>
                <w:rFonts w:ascii="Arial" w:hAnsi="Arial" w:cs="Arial"/>
                <w:color w:val="1A1A1A"/>
                <w:shd w:val="clear" w:color="auto" w:fill="FFFFFF" w:themeFill="background1"/>
              </w:rPr>
              <w:endnoteReference w:id="4"/>
            </w:r>
          </w:p>
          <w:p w:rsidR="0016537A" w:rsidRPr="00D25F45" w:rsidRDefault="006E6323" w:rsidP="009C53CB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32"/>
              <w:rPr>
                <w:rFonts w:ascii="Arial" w:hAnsi="Arial" w:cs="Arial"/>
                <w:color w:val="1A1A1A"/>
                <w:shd w:val="clear" w:color="auto" w:fill="FFFFFF" w:themeFill="background1"/>
              </w:rPr>
            </w:pPr>
            <w:r w:rsidRPr="00D25F45">
              <w:rPr>
                <w:rFonts w:ascii="Arial" w:hAnsi="Arial" w:cs="Arial"/>
                <w:color w:val="2A2A2A"/>
                <w:shd w:val="clear" w:color="auto" w:fill="FFFFFF" w:themeFill="background1"/>
              </w:rPr>
              <w:t xml:space="preserve">Works closely with the </w:t>
            </w:r>
            <w:r w:rsidR="00232752" w:rsidRPr="00D25F45">
              <w:rPr>
                <w:rFonts w:ascii="Arial" w:hAnsi="Arial" w:cs="Arial"/>
              </w:rPr>
              <w:t>IRS</w:t>
            </w:r>
            <w:r w:rsidRPr="00D25F45">
              <w:rPr>
                <w:rFonts w:ascii="Arial" w:hAnsi="Arial" w:cs="Arial"/>
              </w:rPr>
              <w:t xml:space="preserve"> c</w:t>
            </w:r>
            <w:r w:rsidR="00232752" w:rsidRPr="00D25F45">
              <w:rPr>
                <w:rFonts w:ascii="Arial" w:hAnsi="Arial" w:cs="Arial"/>
              </w:rPr>
              <w:t>ommissioner</w:t>
            </w:r>
            <w:r w:rsidRPr="00D25F45">
              <w:rPr>
                <w:rFonts w:ascii="Arial" w:hAnsi="Arial" w:cs="Arial"/>
              </w:rPr>
              <w:t xml:space="preserve">, </w:t>
            </w:r>
            <w:r w:rsidR="00A96798" w:rsidRPr="00D25F45">
              <w:rPr>
                <w:rFonts w:ascii="Arial" w:hAnsi="Arial" w:cs="Arial"/>
              </w:rPr>
              <w:t>the National Economic Council</w:t>
            </w:r>
            <w:r w:rsidRPr="00D25F45">
              <w:rPr>
                <w:rFonts w:ascii="Arial" w:hAnsi="Arial" w:cs="Arial"/>
              </w:rPr>
              <w:t xml:space="preserve">, </w:t>
            </w:r>
            <w:r w:rsidR="00A96798" w:rsidRPr="00D25F45">
              <w:rPr>
                <w:rFonts w:ascii="Arial" w:hAnsi="Arial" w:cs="Arial"/>
              </w:rPr>
              <w:t>the Office of Management and Budget</w:t>
            </w:r>
            <w:r w:rsidRPr="00D25F45">
              <w:rPr>
                <w:rFonts w:ascii="Arial" w:hAnsi="Arial" w:cs="Arial"/>
              </w:rPr>
              <w:t xml:space="preserve">, </w:t>
            </w:r>
            <w:r w:rsidR="00A96798" w:rsidRPr="00D25F45">
              <w:rPr>
                <w:rFonts w:ascii="Arial" w:hAnsi="Arial" w:cs="Arial"/>
              </w:rPr>
              <w:t xml:space="preserve">the </w:t>
            </w:r>
            <w:r w:rsidR="009C53CB">
              <w:rPr>
                <w:rFonts w:ascii="Arial" w:hAnsi="Arial" w:cs="Arial"/>
              </w:rPr>
              <w:t>v</w:t>
            </w:r>
            <w:r w:rsidR="00A96798" w:rsidRPr="00D25F45">
              <w:rPr>
                <w:rFonts w:ascii="Arial" w:hAnsi="Arial" w:cs="Arial"/>
              </w:rPr>
              <w:t xml:space="preserve">ice </w:t>
            </w:r>
            <w:r w:rsidR="009C53CB">
              <w:rPr>
                <w:rFonts w:ascii="Arial" w:hAnsi="Arial" w:cs="Arial"/>
              </w:rPr>
              <w:t>p</w:t>
            </w:r>
            <w:r w:rsidR="00A96798" w:rsidRPr="00D25F45">
              <w:rPr>
                <w:rFonts w:ascii="Arial" w:hAnsi="Arial" w:cs="Arial"/>
              </w:rPr>
              <w:t xml:space="preserve">resident’s </w:t>
            </w:r>
            <w:r w:rsidR="009C53CB">
              <w:rPr>
                <w:rFonts w:ascii="Arial" w:hAnsi="Arial" w:cs="Arial"/>
              </w:rPr>
              <w:t>o</w:t>
            </w:r>
            <w:r w:rsidR="00A96798" w:rsidRPr="00D25F45">
              <w:rPr>
                <w:rFonts w:ascii="Arial" w:hAnsi="Arial" w:cs="Arial"/>
              </w:rPr>
              <w:t>ffice</w:t>
            </w:r>
            <w:r w:rsidRPr="00D25F45">
              <w:rPr>
                <w:rFonts w:ascii="Arial" w:hAnsi="Arial" w:cs="Arial"/>
              </w:rPr>
              <w:t xml:space="preserve">, </w:t>
            </w:r>
            <w:r w:rsidR="00A96798" w:rsidRPr="00D25F45">
              <w:rPr>
                <w:rFonts w:ascii="Arial" w:hAnsi="Arial" w:cs="Arial"/>
              </w:rPr>
              <w:t>the Council of Economic Advisors</w:t>
            </w:r>
            <w:r w:rsidRPr="00D25F45">
              <w:rPr>
                <w:rFonts w:ascii="Arial" w:hAnsi="Arial" w:cs="Arial"/>
              </w:rPr>
              <w:t xml:space="preserve"> and </w:t>
            </w:r>
            <w:r w:rsidR="00A96798" w:rsidRPr="00D25F45">
              <w:rPr>
                <w:rFonts w:ascii="Arial" w:hAnsi="Arial" w:cs="Arial"/>
              </w:rPr>
              <w:t>the Department of Homeland Security</w:t>
            </w:r>
            <w:r w:rsidR="002A7F9F" w:rsidRPr="00D25F45">
              <w:rPr>
                <w:rStyle w:val="EndnoteReference"/>
                <w:rFonts w:ascii="Arial" w:hAnsi="Arial" w:cs="Arial"/>
                <w:color w:val="2A2A2A"/>
              </w:rPr>
              <w:endnoteReference w:id="5"/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25F45" w:rsidRDefault="0039752D" w:rsidP="0039752D">
            <w:pPr>
              <w:ind w:left="72"/>
              <w:jc w:val="center"/>
              <w:rPr>
                <w:rFonts w:ascii="Arial" w:hAnsi="Arial" w:cs="Arial"/>
              </w:rPr>
            </w:pPr>
          </w:p>
          <w:p w:rsidR="0039752D" w:rsidRPr="00D25F45" w:rsidRDefault="0039752D" w:rsidP="0039752D">
            <w:pPr>
              <w:ind w:left="72"/>
              <w:jc w:val="center"/>
              <w:rPr>
                <w:rFonts w:ascii="Arial" w:hAnsi="Arial" w:cs="Arial"/>
              </w:rPr>
            </w:pPr>
          </w:p>
          <w:p w:rsidR="00661AE5" w:rsidRPr="00D25F45" w:rsidRDefault="00661AE5" w:rsidP="0039752D">
            <w:pPr>
              <w:ind w:left="72"/>
              <w:jc w:val="center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[</w:t>
            </w:r>
            <w:r w:rsidR="005D5F5A" w:rsidRPr="00D25F45">
              <w:rPr>
                <w:rFonts w:ascii="Arial" w:hAnsi="Arial" w:cs="Arial"/>
              </w:rPr>
              <w:t>Depends on the policy priorities of the administration</w:t>
            </w:r>
            <w:r w:rsidRPr="00D25F45">
              <w:rPr>
                <w:rFonts w:ascii="Arial" w:hAnsi="Arial" w:cs="Arial"/>
              </w:rPr>
              <w:t>]</w:t>
            </w:r>
          </w:p>
          <w:p w:rsidR="0039752D" w:rsidRPr="00D25F45" w:rsidRDefault="0039752D" w:rsidP="0039752D">
            <w:pPr>
              <w:ind w:left="72"/>
              <w:jc w:val="center"/>
              <w:rPr>
                <w:rFonts w:ascii="Arial" w:hAnsi="Arial" w:cs="Arial"/>
              </w:rPr>
            </w:pPr>
          </w:p>
          <w:p w:rsidR="0039752D" w:rsidRPr="00D25F45" w:rsidRDefault="0039752D" w:rsidP="0039752D">
            <w:pPr>
              <w:ind w:left="72"/>
              <w:jc w:val="center"/>
              <w:rPr>
                <w:rFonts w:ascii="Arial" w:hAnsi="Arial" w:cs="Arial"/>
              </w:rPr>
            </w:pPr>
          </w:p>
        </w:tc>
      </w:tr>
      <w:tr w:rsidR="00661AE5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25F45" w:rsidRDefault="00661AE5" w:rsidP="00B64A22">
            <w:pPr>
              <w:jc w:val="center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REQUIREMENTS AND COMPETENCIES</w:t>
            </w:r>
          </w:p>
        </w:tc>
      </w:tr>
      <w:tr w:rsidR="00661AE5" w:rsidRPr="00D25F45" w:rsidTr="00996FA7">
        <w:trPr>
          <w:trHeight w:val="1431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C9B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  <w:bCs/>
              </w:rPr>
              <w:t>M</w:t>
            </w:r>
            <w:r w:rsidR="00497B56">
              <w:rPr>
                <w:rFonts w:ascii="Arial" w:hAnsi="Arial" w:cs="Arial"/>
                <w:bCs/>
              </w:rPr>
              <w:t>aster of Business Administration; m</w:t>
            </w:r>
            <w:r w:rsidRPr="00D25F45">
              <w:rPr>
                <w:rFonts w:ascii="Arial" w:hAnsi="Arial" w:cs="Arial"/>
                <w:bCs/>
              </w:rPr>
              <w:t>aster</w:t>
            </w:r>
            <w:r w:rsidR="00303C9B" w:rsidRPr="00D25F45">
              <w:rPr>
                <w:rFonts w:ascii="Arial" w:hAnsi="Arial" w:cs="Arial"/>
                <w:bCs/>
              </w:rPr>
              <w:t xml:space="preserve">’s in </w:t>
            </w:r>
            <w:r w:rsidR="00497B56">
              <w:rPr>
                <w:rFonts w:ascii="Arial" w:hAnsi="Arial" w:cs="Arial"/>
                <w:bCs/>
              </w:rPr>
              <w:t>t</w:t>
            </w:r>
            <w:r w:rsidR="00303C9B" w:rsidRPr="00D25F45">
              <w:rPr>
                <w:rFonts w:ascii="Arial" w:hAnsi="Arial" w:cs="Arial"/>
                <w:bCs/>
              </w:rPr>
              <w:t xml:space="preserve">ax, </w:t>
            </w:r>
            <w:r w:rsidR="00497B56">
              <w:rPr>
                <w:rFonts w:ascii="Arial" w:hAnsi="Arial" w:cs="Arial"/>
                <w:bCs/>
              </w:rPr>
              <w:t>a</w:t>
            </w:r>
            <w:r w:rsidR="00303C9B" w:rsidRPr="00D25F45">
              <w:rPr>
                <w:rFonts w:ascii="Arial" w:hAnsi="Arial" w:cs="Arial"/>
                <w:bCs/>
              </w:rPr>
              <w:t xml:space="preserve">ccounting, </w:t>
            </w:r>
            <w:r w:rsidR="00497B56">
              <w:rPr>
                <w:rFonts w:ascii="Arial" w:hAnsi="Arial" w:cs="Arial"/>
                <w:bCs/>
              </w:rPr>
              <w:t>f</w:t>
            </w:r>
            <w:r w:rsidR="00303C9B" w:rsidRPr="00D25F45">
              <w:rPr>
                <w:rFonts w:ascii="Arial" w:hAnsi="Arial" w:cs="Arial"/>
                <w:bCs/>
              </w:rPr>
              <w:t>inance</w:t>
            </w:r>
            <w:r w:rsidRPr="00D25F45">
              <w:rPr>
                <w:rFonts w:ascii="Arial" w:hAnsi="Arial" w:cs="Arial"/>
                <w:bCs/>
              </w:rPr>
              <w:t xml:space="preserve"> or </w:t>
            </w:r>
            <w:r w:rsidR="00497B56">
              <w:rPr>
                <w:rFonts w:ascii="Arial" w:hAnsi="Arial" w:cs="Arial"/>
                <w:bCs/>
              </w:rPr>
              <w:t>e</w:t>
            </w:r>
            <w:r w:rsidRPr="00D25F45">
              <w:rPr>
                <w:rFonts w:ascii="Arial" w:hAnsi="Arial" w:cs="Arial"/>
                <w:bCs/>
              </w:rPr>
              <w:t>conomics</w:t>
            </w:r>
            <w:r w:rsidR="00497B56">
              <w:rPr>
                <w:rFonts w:ascii="Arial" w:hAnsi="Arial" w:cs="Arial"/>
                <w:bCs/>
              </w:rPr>
              <w:t>;</w:t>
            </w:r>
            <w:r w:rsidR="00D078D5" w:rsidRPr="00D25F45">
              <w:rPr>
                <w:rFonts w:ascii="Arial" w:hAnsi="Arial" w:cs="Arial"/>
                <w:bCs/>
              </w:rPr>
              <w:t xml:space="preserve"> or JD in taxation </w:t>
            </w:r>
            <w:r w:rsidR="00303C9B" w:rsidRPr="00D25F45">
              <w:rPr>
                <w:rFonts w:ascii="Arial" w:hAnsi="Arial" w:cs="Arial"/>
                <w:bCs/>
              </w:rPr>
              <w:t>(</w:t>
            </w:r>
            <w:r w:rsidR="007C0B50" w:rsidRPr="00D25F45">
              <w:rPr>
                <w:rFonts w:ascii="Arial" w:hAnsi="Arial" w:cs="Arial"/>
                <w:bCs/>
              </w:rPr>
              <w:t>preferred</w:t>
            </w:r>
            <w:r w:rsidR="00303C9B" w:rsidRPr="00D25F45">
              <w:rPr>
                <w:rFonts w:ascii="Arial" w:hAnsi="Arial" w:cs="Arial"/>
                <w:bCs/>
              </w:rPr>
              <w:t>)</w:t>
            </w:r>
          </w:p>
          <w:p w:rsidR="00303C9B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>In-depth knowledge and experience with</w:t>
            </w:r>
            <w:r w:rsidR="00A31107" w:rsidRPr="00D25F45">
              <w:rPr>
                <w:rFonts w:ascii="Arial" w:hAnsi="Arial" w:cs="Arial"/>
              </w:rPr>
              <w:t xml:space="preserve"> tax policy to lead on the issue from</w:t>
            </w:r>
            <w:r w:rsidRPr="00D25F45">
              <w:rPr>
                <w:rFonts w:ascii="Arial" w:hAnsi="Arial" w:cs="Arial"/>
              </w:rPr>
              <w:t xml:space="preserve"> his or her first day in office</w:t>
            </w:r>
          </w:p>
          <w:p w:rsidR="00303C9B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>In-depth knowledge of tax law</w:t>
            </w:r>
          </w:p>
          <w:p w:rsidR="00303C9B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>In-depth understanding of tax systems</w:t>
            </w:r>
          </w:p>
          <w:p w:rsidR="00303C9B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>Understanding of administrative/regulatory processes</w:t>
            </w:r>
          </w:p>
          <w:p w:rsidR="00303C9B" w:rsidRPr="00D25F45" w:rsidRDefault="00D078D5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>Understanding of budget formulation</w:t>
            </w:r>
          </w:p>
          <w:p w:rsidR="00F63A7D" w:rsidRPr="00D25F45" w:rsidRDefault="00F63A7D" w:rsidP="00D25F45">
            <w:pPr>
              <w:pStyle w:val="ListParagraph"/>
              <w:numPr>
                <w:ilvl w:val="0"/>
                <w:numId w:val="45"/>
              </w:numPr>
              <w:ind w:left="432"/>
              <w:rPr>
                <w:rFonts w:ascii="Arial" w:hAnsi="Arial" w:cs="Arial"/>
                <w:bCs/>
              </w:rPr>
            </w:pPr>
            <w:r w:rsidRPr="00D25F45">
              <w:rPr>
                <w:rFonts w:ascii="Arial" w:hAnsi="Arial" w:cs="Arial"/>
              </w:rPr>
              <w:t xml:space="preserve">Experience testifying before Congress </w:t>
            </w:r>
            <w:r w:rsidR="00303C9B" w:rsidRPr="00D25F45">
              <w:rPr>
                <w:rFonts w:ascii="Arial" w:hAnsi="Arial" w:cs="Arial"/>
              </w:rPr>
              <w:t>(</w:t>
            </w:r>
            <w:r w:rsidRPr="00D25F45">
              <w:rPr>
                <w:rFonts w:ascii="Arial" w:hAnsi="Arial" w:cs="Arial"/>
              </w:rPr>
              <w:t>preferred</w:t>
            </w:r>
            <w:r w:rsidR="00303C9B" w:rsidRPr="00D25F45">
              <w:rPr>
                <w:rFonts w:ascii="Arial" w:hAnsi="Arial" w:cs="Arial"/>
              </w:rPr>
              <w:t>)</w:t>
            </w:r>
          </w:p>
        </w:tc>
      </w:tr>
      <w:tr w:rsidR="00661AE5" w:rsidRPr="00D25F45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25F45" w:rsidRDefault="00661AE5" w:rsidP="004E1C64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FA7" w:rsidRDefault="00996FA7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996FA7">
              <w:rPr>
                <w:rFonts w:ascii="Arial" w:hAnsi="Arial" w:cs="Arial"/>
              </w:rPr>
              <w:t>Exceptional verbal and written communications skills, with ability to quickly craft messages on agency policy for media and public consumption</w:t>
            </w:r>
          </w:p>
          <w:p w:rsidR="00303C9B" w:rsidRPr="00D25F45" w:rsidRDefault="00362C3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Ability t</w:t>
            </w:r>
            <w:r w:rsidR="00303C9B" w:rsidRPr="00D25F45">
              <w:rPr>
                <w:rFonts w:ascii="Arial" w:hAnsi="Arial" w:cs="Arial"/>
              </w:rPr>
              <w:t>o bring about strategic change</w:t>
            </w:r>
            <w:r w:rsidR="002519D9">
              <w:rPr>
                <w:rFonts w:ascii="Arial" w:hAnsi="Arial" w:cs="Arial"/>
              </w:rPr>
              <w:t>,</w:t>
            </w:r>
            <w:r w:rsidRPr="00D25F45">
              <w:rPr>
                <w:rFonts w:ascii="Arial" w:hAnsi="Arial" w:cs="Arial"/>
              </w:rPr>
              <w:t xml:space="preserve"> establish an organizational vision and implement it in a co</w:t>
            </w:r>
            <w:r w:rsidR="00303C9B" w:rsidRPr="00D25F45">
              <w:rPr>
                <w:rFonts w:ascii="Arial" w:hAnsi="Arial" w:cs="Arial"/>
              </w:rPr>
              <w:t>ntinuously changing environment</w:t>
            </w:r>
          </w:p>
          <w:p w:rsidR="00303C9B" w:rsidRPr="00D25F45" w:rsidRDefault="00362C3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Understand</w:t>
            </w:r>
            <w:r w:rsidR="009C53CB">
              <w:rPr>
                <w:rFonts w:ascii="Arial" w:hAnsi="Arial" w:cs="Arial"/>
              </w:rPr>
              <w:t>ing</w:t>
            </w:r>
            <w:r w:rsidRPr="00D25F45">
              <w:rPr>
                <w:rFonts w:ascii="Arial" w:hAnsi="Arial" w:cs="Arial"/>
              </w:rPr>
              <w:t xml:space="preserve"> </w:t>
            </w:r>
            <w:r w:rsidR="009C53CB">
              <w:rPr>
                <w:rFonts w:ascii="Arial" w:hAnsi="Arial" w:cs="Arial"/>
              </w:rPr>
              <w:t>of current</w:t>
            </w:r>
            <w:r w:rsidRPr="00D25F45">
              <w:rPr>
                <w:rFonts w:ascii="Arial" w:hAnsi="Arial" w:cs="Arial"/>
              </w:rPr>
              <w:t xml:space="preserve"> local, national</w:t>
            </w:r>
            <w:r w:rsidR="002519D9">
              <w:rPr>
                <w:rFonts w:ascii="Arial" w:hAnsi="Arial" w:cs="Arial"/>
              </w:rPr>
              <w:t xml:space="preserve"> </w:t>
            </w:r>
            <w:r w:rsidRPr="00D25F45">
              <w:rPr>
                <w:rFonts w:ascii="Arial" w:hAnsi="Arial" w:cs="Arial"/>
              </w:rPr>
              <w:t>and international policies and trends affect</w:t>
            </w:r>
            <w:r w:rsidR="009C53CB">
              <w:rPr>
                <w:rFonts w:ascii="Arial" w:hAnsi="Arial" w:cs="Arial"/>
              </w:rPr>
              <w:t>ing</w:t>
            </w:r>
            <w:r w:rsidRPr="00D25F45">
              <w:rPr>
                <w:rFonts w:ascii="Arial" w:hAnsi="Arial" w:cs="Arial"/>
              </w:rPr>
              <w:t xml:space="preserve"> the organization and shap</w:t>
            </w:r>
            <w:r w:rsidR="009C53CB">
              <w:rPr>
                <w:rFonts w:ascii="Arial" w:hAnsi="Arial" w:cs="Arial"/>
              </w:rPr>
              <w:t>ing</w:t>
            </w:r>
            <w:r w:rsidRPr="00D25F45">
              <w:rPr>
                <w:rFonts w:ascii="Arial" w:hAnsi="Arial" w:cs="Arial"/>
              </w:rPr>
              <w:t xml:space="preserve"> stakeholders</w:t>
            </w:r>
            <w:r w:rsidR="002519D9">
              <w:rPr>
                <w:rFonts w:ascii="Arial" w:hAnsi="Arial" w:cs="Arial"/>
              </w:rPr>
              <w:t>’</w:t>
            </w:r>
            <w:r w:rsidRPr="00D25F45">
              <w:rPr>
                <w:rFonts w:ascii="Arial" w:hAnsi="Arial" w:cs="Arial"/>
              </w:rPr>
              <w:t xml:space="preserve"> views</w:t>
            </w:r>
            <w:r w:rsidR="002519D9">
              <w:rPr>
                <w:rFonts w:ascii="Arial" w:hAnsi="Arial" w:cs="Arial"/>
              </w:rPr>
              <w:t xml:space="preserve">, </w:t>
            </w:r>
            <w:r w:rsidR="009C53CB">
              <w:rPr>
                <w:rFonts w:ascii="Arial" w:hAnsi="Arial" w:cs="Arial"/>
              </w:rPr>
              <w:t>and</w:t>
            </w:r>
            <w:r w:rsidRPr="00D25F45">
              <w:rPr>
                <w:rFonts w:ascii="Arial" w:hAnsi="Arial" w:cs="Arial"/>
              </w:rPr>
              <w:t xml:space="preserve"> aware</w:t>
            </w:r>
            <w:r w:rsidR="002519D9">
              <w:rPr>
                <w:rFonts w:ascii="Arial" w:hAnsi="Arial" w:cs="Arial"/>
              </w:rPr>
              <w:t>ness</w:t>
            </w:r>
            <w:r w:rsidRPr="00D25F45">
              <w:rPr>
                <w:rFonts w:ascii="Arial" w:hAnsi="Arial" w:cs="Arial"/>
              </w:rPr>
              <w:t xml:space="preserve"> of the organization</w:t>
            </w:r>
            <w:r w:rsidR="002519D9">
              <w:rPr>
                <w:rFonts w:ascii="Arial" w:hAnsi="Arial" w:cs="Arial"/>
              </w:rPr>
              <w:t>’</w:t>
            </w:r>
            <w:r w:rsidRPr="00D25F45">
              <w:rPr>
                <w:rFonts w:ascii="Arial" w:hAnsi="Arial" w:cs="Arial"/>
              </w:rPr>
              <w:t>s impact on the external environment</w:t>
            </w:r>
            <w:bookmarkStart w:id="2" w:name="ecq2"/>
            <w:bookmarkStart w:id="3" w:name="ecq3"/>
            <w:bookmarkEnd w:id="2"/>
            <w:bookmarkEnd w:id="3"/>
          </w:p>
          <w:p w:rsidR="00303C9B" w:rsidRPr="00D25F45" w:rsidRDefault="00362C3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Ability to meet organizational goals and customer expect</w:t>
            </w:r>
            <w:r w:rsidR="00303C9B" w:rsidRPr="00D25F45">
              <w:rPr>
                <w:rFonts w:ascii="Arial" w:hAnsi="Arial" w:cs="Arial"/>
              </w:rPr>
              <w:t>ations</w:t>
            </w:r>
            <w:r w:rsidR="002519D9">
              <w:rPr>
                <w:rFonts w:ascii="Arial" w:hAnsi="Arial" w:cs="Arial"/>
              </w:rPr>
              <w:t xml:space="preserve"> and</w:t>
            </w:r>
            <w:r w:rsidRPr="00D25F45">
              <w:rPr>
                <w:rFonts w:ascii="Arial" w:hAnsi="Arial" w:cs="Arial"/>
              </w:rPr>
              <w:t xml:space="preserve"> make decisions that produce high-quality results by applying technica</w:t>
            </w:r>
            <w:r w:rsidR="00303C9B" w:rsidRPr="00D25F45">
              <w:rPr>
                <w:rFonts w:ascii="Arial" w:hAnsi="Arial" w:cs="Arial"/>
              </w:rPr>
              <w:t>l knowledge, analyzing problems</w:t>
            </w:r>
            <w:r w:rsidRPr="00D25F45">
              <w:rPr>
                <w:rFonts w:ascii="Arial" w:hAnsi="Arial" w:cs="Arial"/>
              </w:rPr>
              <w:t xml:space="preserve"> and calculating risks</w:t>
            </w:r>
            <w:bookmarkStart w:id="4" w:name="ecq4"/>
            <w:bookmarkEnd w:id="4"/>
          </w:p>
          <w:p w:rsidR="00303C9B" w:rsidRPr="00D25F45" w:rsidRDefault="00362C3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Abi</w:t>
            </w:r>
            <w:r w:rsidR="00303C9B" w:rsidRPr="00D25F45">
              <w:rPr>
                <w:rFonts w:ascii="Arial" w:hAnsi="Arial" w:cs="Arial"/>
              </w:rPr>
              <w:t>lity to manage human, financial</w:t>
            </w:r>
            <w:r w:rsidRPr="00D25F45">
              <w:rPr>
                <w:rFonts w:ascii="Arial" w:hAnsi="Arial" w:cs="Arial"/>
              </w:rPr>
              <w:t xml:space="preserve"> and information resources strategically</w:t>
            </w:r>
            <w:bookmarkStart w:id="5" w:name="ecq5"/>
            <w:bookmarkEnd w:id="5"/>
          </w:p>
          <w:p w:rsidR="00303C9B" w:rsidRPr="00D25F45" w:rsidRDefault="00362C3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Ability to build coalit</w:t>
            </w:r>
            <w:r w:rsidR="00303C9B" w:rsidRPr="00D25F45">
              <w:rPr>
                <w:rFonts w:ascii="Arial" w:hAnsi="Arial" w:cs="Arial"/>
              </w:rPr>
              <w:t>ions internally and with other f</w:t>
            </w:r>
            <w:r w:rsidRPr="00D25F45">
              <w:rPr>
                <w:rFonts w:ascii="Arial" w:hAnsi="Arial" w:cs="Arial"/>
              </w:rPr>
              <w:t>ederal agencies</w:t>
            </w:r>
            <w:r w:rsidR="00303C9B" w:rsidRPr="00D25F45">
              <w:rPr>
                <w:rFonts w:ascii="Arial" w:hAnsi="Arial" w:cs="Arial"/>
              </w:rPr>
              <w:t>, state and local governments, and nonprofit and private</w:t>
            </w:r>
            <w:r w:rsidR="002519D9">
              <w:rPr>
                <w:rFonts w:ascii="Arial" w:hAnsi="Arial" w:cs="Arial"/>
              </w:rPr>
              <w:t>-</w:t>
            </w:r>
            <w:r w:rsidR="00303C9B" w:rsidRPr="00D25F45">
              <w:rPr>
                <w:rFonts w:ascii="Arial" w:hAnsi="Arial" w:cs="Arial"/>
              </w:rPr>
              <w:t>sector</w:t>
            </w:r>
            <w:r w:rsidR="002519D9">
              <w:rPr>
                <w:rFonts w:ascii="Arial" w:hAnsi="Arial" w:cs="Arial"/>
              </w:rPr>
              <w:t xml:space="preserve"> organizations</w:t>
            </w:r>
          </w:p>
          <w:p w:rsidR="00303C9B" w:rsidRPr="00D25F45" w:rsidRDefault="00F63A7D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  <w:bCs/>
              </w:rPr>
              <w:t>Ability to work across partisan lines to accomplish tax reform</w:t>
            </w:r>
          </w:p>
          <w:p w:rsidR="00A87EC8" w:rsidRPr="00D25F45" w:rsidRDefault="00381465" w:rsidP="00996FA7">
            <w:pPr>
              <w:pStyle w:val="ListParagraph"/>
              <w:numPr>
                <w:ilvl w:val="0"/>
                <w:numId w:val="46"/>
              </w:numPr>
              <w:ind w:left="432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Comfort with the congressional negotiating process (helpful)</w:t>
            </w:r>
            <w:r w:rsidRPr="00D25F45">
              <w:rPr>
                <w:rStyle w:val="EndnoteReference"/>
                <w:rFonts w:ascii="Arial" w:hAnsi="Arial" w:cs="Arial"/>
              </w:rPr>
              <w:endnoteReference w:id="6"/>
            </w:r>
          </w:p>
        </w:tc>
      </w:tr>
      <w:tr w:rsidR="00661AE5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25F45" w:rsidRDefault="00661AE5" w:rsidP="00B64A22">
            <w:pPr>
              <w:jc w:val="center"/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PAST APPOINTEES</w:t>
            </w:r>
          </w:p>
        </w:tc>
      </w:tr>
      <w:tr w:rsidR="00BE379B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25F45" w:rsidRDefault="003438B8" w:rsidP="008B3635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 xml:space="preserve">Mark J. Mazur </w:t>
            </w:r>
            <w:r w:rsidR="00FB5EC9" w:rsidRPr="00D25F45">
              <w:rPr>
                <w:rFonts w:ascii="Arial" w:hAnsi="Arial" w:cs="Arial"/>
              </w:rPr>
              <w:t>(2012 to 2017</w:t>
            </w:r>
            <w:r w:rsidR="00B30C4A" w:rsidRPr="00D25F45">
              <w:rPr>
                <w:rFonts w:ascii="Arial" w:hAnsi="Arial" w:cs="Arial"/>
              </w:rPr>
              <w:t>):</w:t>
            </w:r>
            <w:r w:rsidR="00A44F1C" w:rsidRPr="00D25F45">
              <w:rPr>
                <w:rFonts w:ascii="Arial" w:hAnsi="Arial" w:cs="Arial"/>
              </w:rPr>
              <w:t xml:space="preserve"> </w:t>
            </w:r>
            <w:r w:rsidR="008B3635" w:rsidRPr="00D25F45">
              <w:rPr>
                <w:rFonts w:ascii="Arial" w:hAnsi="Arial" w:cs="Arial"/>
              </w:rPr>
              <w:t>Deputy Assistant Secretary, Deputy Assistant Secretary for Tax Analysis, Office of the Deputy Secretary, Department of the Treasury</w:t>
            </w:r>
            <w:r w:rsidR="00BE379B" w:rsidRPr="00D25F45">
              <w:rPr>
                <w:rFonts w:ascii="Arial" w:hAnsi="Arial" w:cs="Arial"/>
              </w:rPr>
              <w:t xml:space="preserve">; </w:t>
            </w:r>
            <w:r w:rsidR="008B3635" w:rsidRPr="00D25F45">
              <w:rPr>
                <w:rFonts w:ascii="Arial" w:hAnsi="Arial" w:cs="Arial"/>
              </w:rPr>
              <w:t>Research, Analysis and Statistics of Income Director, Office of the Commissioner, Internal Revenue Service, Department of the Treasury</w:t>
            </w:r>
            <w:r w:rsidR="00BE379B" w:rsidRPr="00D25F45">
              <w:rPr>
                <w:rFonts w:ascii="Arial" w:hAnsi="Arial" w:cs="Arial"/>
              </w:rPr>
              <w:t xml:space="preserve">; </w:t>
            </w:r>
            <w:r w:rsidR="008B3635" w:rsidRPr="00D25F45">
              <w:rPr>
                <w:rFonts w:ascii="Arial" w:hAnsi="Arial" w:cs="Arial"/>
              </w:rPr>
              <w:t>Acting Administrator of the Energy Information Administration, Department of Energy</w:t>
            </w:r>
            <w:r w:rsidR="003B5D8F" w:rsidRPr="00D25F45">
              <w:rPr>
                <w:rStyle w:val="EndnoteReference"/>
                <w:rFonts w:ascii="Arial" w:hAnsi="Arial" w:cs="Arial"/>
              </w:rPr>
              <w:endnoteReference w:id="7"/>
            </w:r>
          </w:p>
        </w:tc>
      </w:tr>
      <w:tr w:rsidR="00BE379B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25F45" w:rsidRDefault="003438B8" w:rsidP="008B3635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t>Eric Solomon</w:t>
            </w:r>
            <w:r w:rsidR="00A44F1C" w:rsidRPr="00D25F45">
              <w:rPr>
                <w:rFonts w:ascii="Arial" w:hAnsi="Arial" w:cs="Arial"/>
              </w:rPr>
              <w:t xml:space="preserve"> </w:t>
            </w:r>
            <w:r w:rsidR="00B30C4A" w:rsidRPr="00D25F45">
              <w:rPr>
                <w:rFonts w:ascii="Arial" w:hAnsi="Arial" w:cs="Arial"/>
              </w:rPr>
              <w:t>(</w:t>
            </w:r>
            <w:r w:rsidR="00687A41" w:rsidRPr="00D25F45">
              <w:rPr>
                <w:rFonts w:ascii="Arial" w:hAnsi="Arial" w:cs="Arial"/>
              </w:rPr>
              <w:t>2006 to 2009</w:t>
            </w:r>
            <w:r w:rsidR="00B30C4A" w:rsidRPr="00D25F45">
              <w:rPr>
                <w:rFonts w:ascii="Arial" w:hAnsi="Arial" w:cs="Arial"/>
              </w:rPr>
              <w:t>):</w:t>
            </w:r>
            <w:r w:rsidR="00BE379B" w:rsidRPr="00D25F45">
              <w:rPr>
                <w:rFonts w:ascii="Arial" w:hAnsi="Arial" w:cs="Arial"/>
              </w:rPr>
              <w:t xml:space="preserve"> </w:t>
            </w:r>
            <w:r w:rsidR="008B3635" w:rsidRPr="00D25F45">
              <w:rPr>
                <w:rFonts w:ascii="Arial" w:hAnsi="Arial" w:cs="Arial"/>
              </w:rPr>
              <w:t>Deputy Assistant Secretary, Deputy Assistant Secretary for Regulatory Affairs, Office of the Deputy Secretary, Department of the Treasury; Deputy Assistant Secretary, Deputy Assistant Secretary for Tax Policy, Department of the Treasury</w:t>
            </w:r>
            <w:r w:rsidR="00BE379B" w:rsidRPr="00D25F45">
              <w:rPr>
                <w:rFonts w:ascii="Arial" w:hAnsi="Arial" w:cs="Arial"/>
              </w:rPr>
              <w:t xml:space="preserve">; </w:t>
            </w:r>
            <w:r w:rsidR="008B3635" w:rsidRPr="00D25F45">
              <w:rPr>
                <w:rFonts w:ascii="Arial" w:hAnsi="Arial" w:cs="Arial"/>
              </w:rPr>
              <w:t>Senior Advisor for Policy, Department of the Treasury</w:t>
            </w:r>
            <w:r w:rsidR="003B5D8F" w:rsidRPr="00D25F45">
              <w:rPr>
                <w:rStyle w:val="EndnoteReference"/>
                <w:rFonts w:ascii="Arial" w:hAnsi="Arial" w:cs="Arial"/>
              </w:rPr>
              <w:endnoteReference w:id="8"/>
            </w:r>
          </w:p>
        </w:tc>
      </w:tr>
      <w:tr w:rsidR="00661AE5" w:rsidRPr="00D25F45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25F45" w:rsidRDefault="003438B8" w:rsidP="00862EDB">
            <w:pPr>
              <w:rPr>
                <w:rFonts w:ascii="Arial" w:hAnsi="Arial" w:cs="Arial"/>
              </w:rPr>
            </w:pPr>
            <w:r w:rsidRPr="00D25F45">
              <w:rPr>
                <w:rFonts w:ascii="Arial" w:hAnsi="Arial" w:cs="Arial"/>
              </w:rPr>
              <w:lastRenderedPageBreak/>
              <w:t>Pamela F. Olson</w:t>
            </w:r>
            <w:r w:rsidR="00BE379B" w:rsidRPr="00D25F45">
              <w:rPr>
                <w:rFonts w:ascii="Arial" w:hAnsi="Arial" w:cs="Arial"/>
              </w:rPr>
              <w:t xml:space="preserve"> </w:t>
            </w:r>
            <w:r w:rsidR="00B30C4A" w:rsidRPr="00D25F45">
              <w:rPr>
                <w:rFonts w:ascii="Arial" w:hAnsi="Arial" w:cs="Arial"/>
              </w:rPr>
              <w:t>(</w:t>
            </w:r>
            <w:r w:rsidR="0024749A" w:rsidRPr="00D25F45">
              <w:rPr>
                <w:rFonts w:ascii="Arial" w:hAnsi="Arial" w:cs="Arial"/>
              </w:rPr>
              <w:t>2002 to 2004</w:t>
            </w:r>
            <w:r w:rsidR="00B30C4A" w:rsidRPr="00D25F45">
              <w:rPr>
                <w:rFonts w:ascii="Arial" w:hAnsi="Arial" w:cs="Arial"/>
              </w:rPr>
              <w:t>):</w:t>
            </w:r>
            <w:r w:rsidR="00BE379B" w:rsidRPr="00D25F45">
              <w:rPr>
                <w:rFonts w:ascii="Arial" w:hAnsi="Arial" w:cs="Arial"/>
              </w:rPr>
              <w:t xml:space="preserve"> </w:t>
            </w:r>
            <w:r w:rsidR="008B3635" w:rsidRPr="00D25F45">
              <w:rPr>
                <w:rFonts w:ascii="Arial" w:hAnsi="Arial" w:cs="Arial"/>
              </w:rPr>
              <w:t xml:space="preserve">Partner, Skadden, Arps, Slate, Meagher &amp; </w:t>
            </w:r>
            <w:proofErr w:type="spellStart"/>
            <w:r w:rsidR="008B3635" w:rsidRPr="00D25F45">
              <w:rPr>
                <w:rFonts w:ascii="Arial" w:hAnsi="Arial" w:cs="Arial"/>
              </w:rPr>
              <w:t>Flom</w:t>
            </w:r>
            <w:proofErr w:type="spellEnd"/>
            <w:r w:rsidR="008B3635" w:rsidRPr="00D25F45">
              <w:rPr>
                <w:rFonts w:ascii="Arial" w:hAnsi="Arial" w:cs="Arial"/>
              </w:rPr>
              <w:t xml:space="preserve"> LLP</w:t>
            </w:r>
            <w:r w:rsidR="003B5D8F" w:rsidRPr="00D25F45">
              <w:rPr>
                <w:rStyle w:val="EndnoteReference"/>
                <w:rFonts w:ascii="Arial" w:hAnsi="Arial" w:cs="Arial"/>
              </w:rPr>
              <w:endnoteReference w:id="9"/>
            </w:r>
          </w:p>
        </w:tc>
      </w:tr>
    </w:tbl>
    <w:bookmarkEnd w:id="0"/>
    <w:p w:rsidR="00D25F45" w:rsidRDefault="00D25F45" w:rsidP="00D25F45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Endnotes</w:t>
      </w:r>
    </w:p>
    <w:p w:rsidR="00514128" w:rsidRPr="00D25F45" w:rsidRDefault="00D25F45">
      <w:pPr>
        <w:rPr>
          <w:rFonts w:eastAsiaTheme="minorHAnsi"/>
        </w:rPr>
      </w:pPr>
      <w:r>
        <w:rPr>
          <w:rFonts w:ascii="Arial" w:hAnsi="Arial" w:cs="Arial"/>
        </w:rPr>
        <w:t>This position description was created with the help of MITRE Corporation, a not-for-profit company that provides innovative, practical solutions for some of the nation's most critical challenges in defense and intelligence, aviation, civil systems, homeland security, the judiciary, health care and cybersecurity.</w:t>
      </w:r>
      <w:bookmarkStart w:id="6" w:name="_MailEndCompose"/>
      <w:bookmarkEnd w:id="6"/>
    </w:p>
    <w:sectPr w:rsidR="00514128" w:rsidRPr="00D25F45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99" w:rsidRDefault="005C0799" w:rsidP="001E22F1">
      <w:r>
        <w:separator/>
      </w:r>
    </w:p>
  </w:endnote>
  <w:endnote w:type="continuationSeparator" w:id="0">
    <w:p w:rsidR="005C0799" w:rsidRDefault="005C0799" w:rsidP="001E22F1">
      <w:r>
        <w:continuationSeparator/>
      </w:r>
    </w:p>
  </w:endnote>
  <w:endnote w:id="1">
    <w:p w:rsidR="00D25F45" w:rsidRDefault="00D25F4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038A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Romney Transition Project position description</w:t>
      </w:r>
    </w:p>
  </w:endnote>
  <w:endnote w:id="3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Romney Transition Project position description</w:t>
      </w:r>
    </w:p>
  </w:endnote>
  <w:endnote w:id="6">
    <w:p w:rsidR="007C0B50" w:rsidRDefault="007C0B50" w:rsidP="00381465">
      <w:pPr>
        <w:pStyle w:val="EndnoteText"/>
      </w:pPr>
      <w:r>
        <w:rPr>
          <w:rStyle w:val="EndnoteReference"/>
        </w:rPr>
        <w:endnoteRef/>
      </w:r>
      <w:r>
        <w:t xml:space="preserve"> Romney Transition Project position description</w:t>
      </w:r>
    </w:p>
  </w:endnote>
  <w:endnote w:id="7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8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9">
    <w:p w:rsidR="007C0B50" w:rsidRDefault="007C0B50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Default="007C0B50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B50" w:rsidRDefault="007C0B50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Default="007C0B50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B50" w:rsidRDefault="007C0B5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C0B50" w:rsidRPr="009630CC" w:rsidRDefault="007C0B5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7C0B50" w:rsidRPr="009630CC" w:rsidRDefault="007C0B50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7C0B50" w:rsidRPr="00B64A22" w:rsidRDefault="007C0B50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Pr="00B64A22" w:rsidRDefault="007C0B50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99" w:rsidRDefault="005C0799" w:rsidP="001E22F1">
      <w:r>
        <w:separator/>
      </w:r>
    </w:p>
  </w:footnote>
  <w:footnote w:type="continuationSeparator" w:id="0">
    <w:p w:rsidR="005C0799" w:rsidRDefault="005C0799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Pr="00CA0F50" w:rsidRDefault="000038A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0B50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Pr="00207063" w:rsidRDefault="007C0B50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50" w:rsidRPr="004960D6" w:rsidRDefault="007C0B50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DAA"/>
    <w:multiLevelType w:val="hybridMultilevel"/>
    <w:tmpl w:val="E5A0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830"/>
    <w:multiLevelType w:val="hybridMultilevel"/>
    <w:tmpl w:val="DAB4BC32"/>
    <w:lvl w:ilvl="0" w:tplc="FD80AE9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D487B"/>
    <w:multiLevelType w:val="hybridMultilevel"/>
    <w:tmpl w:val="AED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F42"/>
    <w:multiLevelType w:val="hybridMultilevel"/>
    <w:tmpl w:val="92B82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45B12"/>
    <w:multiLevelType w:val="hybridMultilevel"/>
    <w:tmpl w:val="398E72CA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4872C5"/>
    <w:multiLevelType w:val="hybridMultilevel"/>
    <w:tmpl w:val="A14E9EDA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D3965"/>
    <w:multiLevelType w:val="hybridMultilevel"/>
    <w:tmpl w:val="43660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A4FAA"/>
    <w:multiLevelType w:val="hybridMultilevel"/>
    <w:tmpl w:val="072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614D2B"/>
    <w:multiLevelType w:val="hybridMultilevel"/>
    <w:tmpl w:val="76C6F642"/>
    <w:lvl w:ilvl="0" w:tplc="FD80AE9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72C23"/>
    <w:multiLevelType w:val="hybridMultilevel"/>
    <w:tmpl w:val="01E2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A082A"/>
    <w:multiLevelType w:val="hybridMultilevel"/>
    <w:tmpl w:val="DD5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15"/>
  </w:num>
  <w:num w:numId="4">
    <w:abstractNumId w:val="45"/>
  </w:num>
  <w:num w:numId="5">
    <w:abstractNumId w:val="9"/>
  </w:num>
  <w:num w:numId="6">
    <w:abstractNumId w:val="41"/>
  </w:num>
  <w:num w:numId="7">
    <w:abstractNumId w:val="8"/>
  </w:num>
  <w:num w:numId="8">
    <w:abstractNumId w:val="35"/>
  </w:num>
  <w:num w:numId="9">
    <w:abstractNumId w:val="19"/>
  </w:num>
  <w:num w:numId="10">
    <w:abstractNumId w:val="10"/>
  </w:num>
  <w:num w:numId="11">
    <w:abstractNumId w:val="18"/>
  </w:num>
  <w:num w:numId="12">
    <w:abstractNumId w:val="28"/>
  </w:num>
  <w:num w:numId="13">
    <w:abstractNumId w:val="27"/>
  </w:num>
  <w:num w:numId="14">
    <w:abstractNumId w:val="30"/>
  </w:num>
  <w:num w:numId="15">
    <w:abstractNumId w:val="32"/>
  </w:num>
  <w:num w:numId="16">
    <w:abstractNumId w:val="4"/>
  </w:num>
  <w:num w:numId="17">
    <w:abstractNumId w:val="23"/>
  </w:num>
  <w:num w:numId="18">
    <w:abstractNumId w:val="40"/>
  </w:num>
  <w:num w:numId="19">
    <w:abstractNumId w:val="12"/>
  </w:num>
  <w:num w:numId="20">
    <w:abstractNumId w:val="31"/>
  </w:num>
  <w:num w:numId="21">
    <w:abstractNumId w:val="37"/>
  </w:num>
  <w:num w:numId="22">
    <w:abstractNumId w:val="14"/>
  </w:num>
  <w:num w:numId="23">
    <w:abstractNumId w:val="11"/>
  </w:num>
  <w:num w:numId="24">
    <w:abstractNumId w:val="39"/>
  </w:num>
  <w:num w:numId="25">
    <w:abstractNumId w:val="17"/>
  </w:num>
  <w:num w:numId="26">
    <w:abstractNumId w:val="6"/>
  </w:num>
  <w:num w:numId="27">
    <w:abstractNumId w:val="25"/>
  </w:num>
  <w:num w:numId="28">
    <w:abstractNumId w:val="20"/>
  </w:num>
  <w:num w:numId="29">
    <w:abstractNumId w:val="26"/>
  </w:num>
  <w:num w:numId="30">
    <w:abstractNumId w:val="34"/>
  </w:num>
  <w:num w:numId="31">
    <w:abstractNumId w:val="43"/>
  </w:num>
  <w:num w:numId="32">
    <w:abstractNumId w:val="44"/>
  </w:num>
  <w:num w:numId="33">
    <w:abstractNumId w:val="13"/>
  </w:num>
  <w:num w:numId="34">
    <w:abstractNumId w:val="3"/>
  </w:num>
  <w:num w:numId="35">
    <w:abstractNumId w:val="33"/>
  </w:num>
  <w:num w:numId="36">
    <w:abstractNumId w:val="21"/>
  </w:num>
  <w:num w:numId="37">
    <w:abstractNumId w:val="0"/>
  </w:num>
  <w:num w:numId="38">
    <w:abstractNumId w:val="16"/>
  </w:num>
  <w:num w:numId="39">
    <w:abstractNumId w:val="36"/>
  </w:num>
  <w:num w:numId="40">
    <w:abstractNumId w:val="2"/>
  </w:num>
  <w:num w:numId="41">
    <w:abstractNumId w:val="1"/>
  </w:num>
  <w:num w:numId="42">
    <w:abstractNumId w:val="29"/>
  </w:num>
  <w:num w:numId="43">
    <w:abstractNumId w:val="5"/>
  </w:num>
  <w:num w:numId="44">
    <w:abstractNumId w:val="22"/>
  </w:num>
  <w:num w:numId="45">
    <w:abstractNumId w:val="3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38A4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665CA"/>
    <w:rsid w:val="00171A70"/>
    <w:rsid w:val="0017272D"/>
    <w:rsid w:val="00175FCC"/>
    <w:rsid w:val="00177526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E6FE5"/>
    <w:rsid w:val="001F3650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2752"/>
    <w:rsid w:val="002375DE"/>
    <w:rsid w:val="00246779"/>
    <w:rsid w:val="0024749A"/>
    <w:rsid w:val="002519D9"/>
    <w:rsid w:val="00262C31"/>
    <w:rsid w:val="00262F6D"/>
    <w:rsid w:val="002638DC"/>
    <w:rsid w:val="00263CE0"/>
    <w:rsid w:val="002678E9"/>
    <w:rsid w:val="002708A8"/>
    <w:rsid w:val="00282909"/>
    <w:rsid w:val="002844E5"/>
    <w:rsid w:val="00292D76"/>
    <w:rsid w:val="00297C2A"/>
    <w:rsid w:val="002A71CC"/>
    <w:rsid w:val="002A7F9F"/>
    <w:rsid w:val="002B1860"/>
    <w:rsid w:val="002B1F4D"/>
    <w:rsid w:val="002B3AC4"/>
    <w:rsid w:val="002B44C0"/>
    <w:rsid w:val="002B59FC"/>
    <w:rsid w:val="002C76AB"/>
    <w:rsid w:val="002C7A86"/>
    <w:rsid w:val="002D28DF"/>
    <w:rsid w:val="002E0713"/>
    <w:rsid w:val="002F0F90"/>
    <w:rsid w:val="002F119A"/>
    <w:rsid w:val="002F204D"/>
    <w:rsid w:val="002F2F32"/>
    <w:rsid w:val="002F45E9"/>
    <w:rsid w:val="0030193E"/>
    <w:rsid w:val="00303C9B"/>
    <w:rsid w:val="00321F38"/>
    <w:rsid w:val="00330ACB"/>
    <w:rsid w:val="00331394"/>
    <w:rsid w:val="003317A8"/>
    <w:rsid w:val="003353C5"/>
    <w:rsid w:val="003438B8"/>
    <w:rsid w:val="003454E5"/>
    <w:rsid w:val="00347F97"/>
    <w:rsid w:val="00354173"/>
    <w:rsid w:val="003616AC"/>
    <w:rsid w:val="00362C35"/>
    <w:rsid w:val="00366270"/>
    <w:rsid w:val="00370ED0"/>
    <w:rsid w:val="00373610"/>
    <w:rsid w:val="00375A18"/>
    <w:rsid w:val="00381465"/>
    <w:rsid w:val="00386024"/>
    <w:rsid w:val="003910F3"/>
    <w:rsid w:val="0039752D"/>
    <w:rsid w:val="003A0397"/>
    <w:rsid w:val="003A4DD4"/>
    <w:rsid w:val="003A6E33"/>
    <w:rsid w:val="003B5D8F"/>
    <w:rsid w:val="003C0470"/>
    <w:rsid w:val="003C3EF6"/>
    <w:rsid w:val="003C56E7"/>
    <w:rsid w:val="003D0BD3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3696F"/>
    <w:rsid w:val="00441ACF"/>
    <w:rsid w:val="0044669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97B56"/>
    <w:rsid w:val="004A5A1A"/>
    <w:rsid w:val="004B0960"/>
    <w:rsid w:val="004B49E3"/>
    <w:rsid w:val="004B56CF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78B1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0799"/>
    <w:rsid w:val="005D4099"/>
    <w:rsid w:val="005D5806"/>
    <w:rsid w:val="005D5F5A"/>
    <w:rsid w:val="005E629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41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048F"/>
    <w:rsid w:val="006E374B"/>
    <w:rsid w:val="006E50C0"/>
    <w:rsid w:val="006E6323"/>
    <w:rsid w:val="006F79CF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4070"/>
    <w:rsid w:val="00784321"/>
    <w:rsid w:val="007872BC"/>
    <w:rsid w:val="00790CC5"/>
    <w:rsid w:val="007A377A"/>
    <w:rsid w:val="007A729A"/>
    <w:rsid w:val="007B1D32"/>
    <w:rsid w:val="007B6E3E"/>
    <w:rsid w:val="007C0B50"/>
    <w:rsid w:val="007C73DE"/>
    <w:rsid w:val="007D1AFF"/>
    <w:rsid w:val="007D609D"/>
    <w:rsid w:val="007D669F"/>
    <w:rsid w:val="007E03F7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6D70"/>
    <w:rsid w:val="008271A8"/>
    <w:rsid w:val="00833527"/>
    <w:rsid w:val="00836810"/>
    <w:rsid w:val="00843FE7"/>
    <w:rsid w:val="00845BCF"/>
    <w:rsid w:val="008529C3"/>
    <w:rsid w:val="008544FF"/>
    <w:rsid w:val="0085653B"/>
    <w:rsid w:val="00860EC5"/>
    <w:rsid w:val="00862EDB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3635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45DB2"/>
    <w:rsid w:val="00945ECA"/>
    <w:rsid w:val="00962B37"/>
    <w:rsid w:val="009630CC"/>
    <w:rsid w:val="0096330D"/>
    <w:rsid w:val="00970EB1"/>
    <w:rsid w:val="00971A5E"/>
    <w:rsid w:val="009754EA"/>
    <w:rsid w:val="00975D54"/>
    <w:rsid w:val="00977755"/>
    <w:rsid w:val="00977835"/>
    <w:rsid w:val="00981574"/>
    <w:rsid w:val="00981585"/>
    <w:rsid w:val="00996FA7"/>
    <w:rsid w:val="009A7E33"/>
    <w:rsid w:val="009B458C"/>
    <w:rsid w:val="009B5C03"/>
    <w:rsid w:val="009C2FED"/>
    <w:rsid w:val="009C53CB"/>
    <w:rsid w:val="009D264E"/>
    <w:rsid w:val="009D3593"/>
    <w:rsid w:val="009E1FC3"/>
    <w:rsid w:val="009E4577"/>
    <w:rsid w:val="009E46C4"/>
    <w:rsid w:val="009E586C"/>
    <w:rsid w:val="009F59E4"/>
    <w:rsid w:val="00A07E43"/>
    <w:rsid w:val="00A11046"/>
    <w:rsid w:val="00A11ABC"/>
    <w:rsid w:val="00A15619"/>
    <w:rsid w:val="00A16DAE"/>
    <w:rsid w:val="00A20D92"/>
    <w:rsid w:val="00A21FED"/>
    <w:rsid w:val="00A26955"/>
    <w:rsid w:val="00A31107"/>
    <w:rsid w:val="00A33BE1"/>
    <w:rsid w:val="00A37BD6"/>
    <w:rsid w:val="00A40455"/>
    <w:rsid w:val="00A44F1C"/>
    <w:rsid w:val="00A46A0C"/>
    <w:rsid w:val="00A51FA1"/>
    <w:rsid w:val="00A54EF3"/>
    <w:rsid w:val="00A57894"/>
    <w:rsid w:val="00A57F7F"/>
    <w:rsid w:val="00A653B2"/>
    <w:rsid w:val="00A869D4"/>
    <w:rsid w:val="00A87EC8"/>
    <w:rsid w:val="00A92C24"/>
    <w:rsid w:val="00A9589A"/>
    <w:rsid w:val="00A96798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386A"/>
    <w:rsid w:val="00B64A22"/>
    <w:rsid w:val="00B65043"/>
    <w:rsid w:val="00B66919"/>
    <w:rsid w:val="00B67626"/>
    <w:rsid w:val="00B72A3A"/>
    <w:rsid w:val="00B761F1"/>
    <w:rsid w:val="00B8440A"/>
    <w:rsid w:val="00B85C44"/>
    <w:rsid w:val="00B8737B"/>
    <w:rsid w:val="00B92A39"/>
    <w:rsid w:val="00B97B34"/>
    <w:rsid w:val="00BA34BC"/>
    <w:rsid w:val="00BB3110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15D68"/>
    <w:rsid w:val="00C23B65"/>
    <w:rsid w:val="00C30408"/>
    <w:rsid w:val="00C335FE"/>
    <w:rsid w:val="00C3365A"/>
    <w:rsid w:val="00C36CC2"/>
    <w:rsid w:val="00C44A8F"/>
    <w:rsid w:val="00C46EEC"/>
    <w:rsid w:val="00C475DE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091C"/>
    <w:rsid w:val="00CC2512"/>
    <w:rsid w:val="00CC278F"/>
    <w:rsid w:val="00CC416B"/>
    <w:rsid w:val="00CD14D0"/>
    <w:rsid w:val="00CD409E"/>
    <w:rsid w:val="00D00C94"/>
    <w:rsid w:val="00D05ABC"/>
    <w:rsid w:val="00D078D5"/>
    <w:rsid w:val="00D1037C"/>
    <w:rsid w:val="00D137F7"/>
    <w:rsid w:val="00D1473D"/>
    <w:rsid w:val="00D201D5"/>
    <w:rsid w:val="00D258E9"/>
    <w:rsid w:val="00D25F45"/>
    <w:rsid w:val="00D276D6"/>
    <w:rsid w:val="00D33A2A"/>
    <w:rsid w:val="00D35718"/>
    <w:rsid w:val="00D40AC5"/>
    <w:rsid w:val="00D43B6D"/>
    <w:rsid w:val="00D46776"/>
    <w:rsid w:val="00D51191"/>
    <w:rsid w:val="00D56177"/>
    <w:rsid w:val="00D60729"/>
    <w:rsid w:val="00D66F40"/>
    <w:rsid w:val="00D7198E"/>
    <w:rsid w:val="00D744FA"/>
    <w:rsid w:val="00D80520"/>
    <w:rsid w:val="00D8185C"/>
    <w:rsid w:val="00D83F3C"/>
    <w:rsid w:val="00D8605F"/>
    <w:rsid w:val="00D8690A"/>
    <w:rsid w:val="00D870FE"/>
    <w:rsid w:val="00D96149"/>
    <w:rsid w:val="00DA16E8"/>
    <w:rsid w:val="00DA36B9"/>
    <w:rsid w:val="00DA387D"/>
    <w:rsid w:val="00DA6CA7"/>
    <w:rsid w:val="00DB23AD"/>
    <w:rsid w:val="00DB7158"/>
    <w:rsid w:val="00DC0DCD"/>
    <w:rsid w:val="00DC4447"/>
    <w:rsid w:val="00DC4641"/>
    <w:rsid w:val="00DC5457"/>
    <w:rsid w:val="00DC65B3"/>
    <w:rsid w:val="00DD0C75"/>
    <w:rsid w:val="00DD6727"/>
    <w:rsid w:val="00DE5DBB"/>
    <w:rsid w:val="00DE7C46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1E2F"/>
    <w:rsid w:val="00E828F9"/>
    <w:rsid w:val="00E90C00"/>
    <w:rsid w:val="00EA116A"/>
    <w:rsid w:val="00EA119B"/>
    <w:rsid w:val="00EB20A7"/>
    <w:rsid w:val="00EC2402"/>
    <w:rsid w:val="00EC429B"/>
    <w:rsid w:val="00EC4FDB"/>
    <w:rsid w:val="00ED20DC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0481"/>
    <w:rsid w:val="00F51D84"/>
    <w:rsid w:val="00F62141"/>
    <w:rsid w:val="00F63A7D"/>
    <w:rsid w:val="00F664E5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5EC9"/>
    <w:rsid w:val="00FC0DC5"/>
    <w:rsid w:val="00FC3EDE"/>
    <w:rsid w:val="00FE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223DC"/>
    <w:rsid w:val="000F6DCB"/>
    <w:rsid w:val="00100E4B"/>
    <w:rsid w:val="00157082"/>
    <w:rsid w:val="001B0CE0"/>
    <w:rsid w:val="001C76A9"/>
    <w:rsid w:val="001E4D58"/>
    <w:rsid w:val="00310C0C"/>
    <w:rsid w:val="00426C5D"/>
    <w:rsid w:val="0053011A"/>
    <w:rsid w:val="005B3992"/>
    <w:rsid w:val="005E3561"/>
    <w:rsid w:val="00672DF4"/>
    <w:rsid w:val="00850701"/>
    <w:rsid w:val="008638AA"/>
    <w:rsid w:val="0087154F"/>
    <w:rsid w:val="008F1F7B"/>
    <w:rsid w:val="008F5F77"/>
    <w:rsid w:val="009701B5"/>
    <w:rsid w:val="00A9166C"/>
    <w:rsid w:val="00AC054C"/>
    <w:rsid w:val="00AC0DBB"/>
    <w:rsid w:val="00B651C1"/>
    <w:rsid w:val="00BB64E1"/>
    <w:rsid w:val="00BE0041"/>
    <w:rsid w:val="00C36CDA"/>
    <w:rsid w:val="00C86FDE"/>
    <w:rsid w:val="00D4302A"/>
    <w:rsid w:val="00D65134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2C2CB3-062A-401B-8028-740CC1EF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2017-05-11T13:45:00Z</dcterms:created>
  <dcterms:modified xsi:type="dcterms:W3CDTF">2017-08-23T20:51:00Z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